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LIX/661/2023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ekwiwalentu pieniężnego dla strażaków ratowników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 kandydatów na strażaków ratowników Ochotniczych Straży Pożarnych Gminy Wejherowo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za udział w działaniu ratowniczym, akcji ratowniczej, szkoleniu lub ćwiczeniu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1a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ochotniczych strażach pożarnych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194) uchwala się, co 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wysokość ekwiwalentu pieniężnego przysługującego strażakom ratownikom ochotniczych straży pożarnych Gminy Wejherowo,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udział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działaniu ratowniczym lub akcji ratowniczej – za każdą rozpoczętą godzinę od zgłoszenia wyjazdu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jednostki ochotniczej straży pożarnej –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udział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szkoleniu lub ćwiczeniu pożarniczym – za każdą rozpoczętą godzinę szkolenia –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zabezpieczenie obszaru chronionego właściwej jednostki ratowniczo-gaśniczej Państwowej Straży Pożarnej – za każdą rozpoczętą godzinę –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wysokość ekwiwalentu pieniężnego przysługującego kandydatom na strażaka ratownika ochotniczych straży pożarnych Gminy Wejherowo, uczestniczącym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szkoleniu podstawowym przygotowującym do bezpośredniego 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działaniach ratowniczych – za każdą rozpoczętą godzinę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–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XLI/507/2022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ustalenia wysokości ekwiwalentu pieniężnego dla strażaków ratowników Ochotniczych Straży Pożarnych Gminy Wejherowo za uczestnictwo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działaniu ratowniczym, akcji ratowniczej, szkoleniu lub ćwiczeniu.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FAF54534-7FE7-41A9-AF11-8E5EE43B0526.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LIX/661/2023 z dnia 27 września 2023 r.</dc:title>
  <dc:subject>w sprawie ustalenia wysokości ekwiwalentu pieniężnego dla strażaków ratowników
i^kandydatów na strażaków ratowników Ochotniczych Straży Pożarnych Gminy Wejherowo
za udział w^działaniu ratowniczym, akcji ratowniczej, szkoleniu lub ćwiczeniu</dc:subject>
  <dc:creator>a.adach</dc:creator>
  <cp:lastModifiedBy>a.adach</cp:lastModifiedBy>
  <cp:revision>1</cp:revision>
  <dcterms:created xsi:type="dcterms:W3CDTF">2023-09-28T11:26:55Z</dcterms:created>
  <dcterms:modified xsi:type="dcterms:W3CDTF">2023-09-28T11:26:55Z</dcterms:modified>
  <cp:category>Akt prawny</cp:category>
</cp:coreProperties>
</file>