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4AC8" w14:textId="77777777" w:rsidR="00A77B3E" w:rsidRDefault="00000000">
      <w:pPr>
        <w:jc w:val="center"/>
        <w:rPr>
          <w:b/>
          <w:caps/>
        </w:rPr>
      </w:pPr>
      <w:r>
        <w:rPr>
          <w:b/>
          <w:caps/>
        </w:rPr>
        <w:t>Uchwała Nr LXI/686/2023</w:t>
      </w:r>
      <w:r>
        <w:rPr>
          <w:b/>
          <w:caps/>
        </w:rPr>
        <w:br/>
        <w:t>Rady Gminy Wejherowo</w:t>
      </w:r>
    </w:p>
    <w:p w14:paraId="440CBF83" w14:textId="77777777" w:rsidR="00A77B3E" w:rsidRDefault="00000000">
      <w:pPr>
        <w:spacing w:before="280" w:after="280"/>
        <w:jc w:val="center"/>
        <w:rPr>
          <w:b/>
          <w:caps/>
        </w:rPr>
      </w:pPr>
      <w:r>
        <w:t>z dnia 22 listopada 2023 r.</w:t>
      </w:r>
    </w:p>
    <w:p w14:paraId="381BCACC" w14:textId="77777777" w:rsidR="00A77B3E" w:rsidRDefault="00000000">
      <w:pPr>
        <w:keepNext/>
        <w:spacing w:after="480"/>
        <w:jc w:val="center"/>
      </w:pPr>
      <w:r>
        <w:rPr>
          <w:b/>
        </w:rPr>
        <w:t>w sprawie rozpatrzenia petycji</w:t>
      </w:r>
    </w:p>
    <w:p w14:paraId="1D3FD585" w14:textId="77777777" w:rsidR="00A77B3E" w:rsidRDefault="00000000">
      <w:pPr>
        <w:keepLines/>
        <w:spacing w:before="120" w:after="120"/>
        <w:ind w:firstLine="227"/>
      </w:pPr>
      <w:r>
        <w:t>Na podstawie art. 18 b ust. 1 ustawy z dnia 8 marca 1990 r. o samorządzie gminnym (</w:t>
      </w:r>
      <w:proofErr w:type="spellStart"/>
      <w:r>
        <w:t>t.j</w:t>
      </w:r>
      <w:proofErr w:type="spellEnd"/>
      <w:r>
        <w:t>. Dz. U. z 2023 r. poz. 40 ze zm.) oraz art. 9 ust. 2 i art. 13 ust. 1 ustawy z dnia 11 lipca 2014 r. o petycjach (</w:t>
      </w:r>
      <w:proofErr w:type="spellStart"/>
      <w:r>
        <w:t>t.j</w:t>
      </w:r>
      <w:proofErr w:type="spellEnd"/>
      <w:r>
        <w:t>. Dz. U. z 2018 r. poz. 870) uchwala się, co następuje:</w:t>
      </w:r>
    </w:p>
    <w:p w14:paraId="34EF07E3" w14:textId="77777777" w:rsidR="00A77B3E" w:rsidRDefault="00000000">
      <w:pPr>
        <w:keepLines/>
        <w:spacing w:before="120" w:after="120"/>
        <w:ind w:firstLine="340"/>
      </w:pPr>
      <w:r>
        <w:rPr>
          <w:b/>
        </w:rPr>
        <w:t>§ 1. </w:t>
      </w:r>
      <w:r>
        <w:t xml:space="preserve">Postanawia się o nieuwzględnieniu petycji złożonej do Urzędu Gminy Wejherowo w dniu 19 października 2023 r., przez </w:t>
      </w:r>
      <w:r w:rsidRPr="00F608C2">
        <w:rPr>
          <w:highlight w:val="black"/>
        </w:rPr>
        <w:t xml:space="preserve">Zarząd Stowarzyszenia </w:t>
      </w:r>
      <w:proofErr w:type="spellStart"/>
      <w:r w:rsidRPr="00F608C2">
        <w:rPr>
          <w:highlight w:val="black"/>
        </w:rPr>
        <w:t>Ekopark</w:t>
      </w:r>
      <w:proofErr w:type="spellEnd"/>
      <w:r>
        <w:t>, zarejestrowanej pod numerem kancelaryjnym 7477, z przyczyn wskazanych w uzasadnieniu.</w:t>
      </w:r>
    </w:p>
    <w:p w14:paraId="510E6EA0" w14:textId="77777777" w:rsidR="00A77B3E" w:rsidRDefault="00000000">
      <w:pPr>
        <w:keepLines/>
        <w:spacing w:before="120" w:after="120"/>
        <w:ind w:firstLine="340"/>
      </w:pPr>
      <w:r>
        <w:rPr>
          <w:b/>
        </w:rPr>
        <w:t>§ 2. </w:t>
      </w:r>
      <w:r>
        <w:t>Wykonanie uchwały powierza się Przewodniczącemu Rady Gminy Wejherowo.</w:t>
      </w:r>
    </w:p>
    <w:p w14:paraId="31B6BDD4" w14:textId="77777777" w:rsidR="00A77B3E" w:rsidRDefault="00000000">
      <w:pPr>
        <w:keepLines/>
        <w:spacing w:before="120" w:after="120"/>
        <w:ind w:firstLine="340"/>
      </w:pPr>
      <w:r>
        <w:rPr>
          <w:b/>
        </w:rPr>
        <w:t>§ 3. </w:t>
      </w:r>
      <w:r>
        <w:t>Uchwała podlega podaniu do publicznej wiadomości poprzez umieszczenie w Biuletynie Informacji Publicznej Gminy Wejherowo.</w:t>
      </w:r>
    </w:p>
    <w:p w14:paraId="4A9D2F5A" w14:textId="77777777" w:rsidR="00A77B3E" w:rsidRDefault="00000000">
      <w:pPr>
        <w:keepNext/>
        <w:keepLines/>
        <w:spacing w:before="120" w:after="120"/>
        <w:ind w:firstLine="340"/>
      </w:pPr>
      <w:r>
        <w:rPr>
          <w:b/>
        </w:rPr>
        <w:t>§ 4. </w:t>
      </w:r>
      <w:r>
        <w:t>Uchwała wchodzi w życie z dniem podjęcia.</w:t>
      </w:r>
    </w:p>
    <w:p w14:paraId="0B2E7886" w14:textId="77777777" w:rsidR="00A77B3E" w:rsidRDefault="00A77B3E">
      <w:pPr>
        <w:keepNext/>
        <w:keepLines/>
        <w:spacing w:before="120" w:after="120"/>
        <w:ind w:firstLine="340"/>
      </w:pPr>
    </w:p>
    <w:p w14:paraId="10D26494"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FB06B6" w14:paraId="68F6D858" w14:textId="77777777">
        <w:tc>
          <w:tcPr>
            <w:tcW w:w="2500" w:type="pct"/>
            <w:tcMar>
              <w:top w:w="0" w:type="dxa"/>
              <w:left w:w="0" w:type="dxa"/>
              <w:bottom w:w="0" w:type="dxa"/>
              <w:right w:w="0" w:type="dxa"/>
            </w:tcMar>
            <w:hideMark/>
          </w:tcPr>
          <w:p w14:paraId="72694892" w14:textId="77777777" w:rsidR="00FB06B6" w:rsidRDefault="00FB06B6">
            <w:pPr>
              <w:keepNext/>
              <w:keepLines/>
              <w:jc w:val="left"/>
              <w:rPr>
                <w:color w:val="000000"/>
                <w:szCs w:val="22"/>
              </w:rPr>
            </w:pPr>
          </w:p>
        </w:tc>
        <w:tc>
          <w:tcPr>
            <w:tcW w:w="2500" w:type="pct"/>
            <w:tcMar>
              <w:top w:w="0" w:type="dxa"/>
              <w:left w:w="0" w:type="dxa"/>
              <w:bottom w:w="0" w:type="dxa"/>
              <w:right w:w="0" w:type="dxa"/>
            </w:tcMar>
            <w:hideMark/>
          </w:tcPr>
          <w:p w14:paraId="4C11FBD4" w14:textId="77777777" w:rsidR="00FB06B6" w:rsidRDefault="00000000">
            <w:pPr>
              <w:keepNext/>
              <w:keepLines/>
              <w:spacing w:before="560" w:after="560"/>
              <w:ind w:left="1134" w:right="1134"/>
              <w:jc w:val="center"/>
              <w:rPr>
                <w:color w:val="000000"/>
                <w:szCs w:val="22"/>
              </w:rPr>
            </w:pPr>
            <w:r>
              <w:rPr>
                <w:color w:val="000000"/>
                <w:szCs w:val="22"/>
              </w:rPr>
              <w:t>Przewodniczący Rady</w:t>
            </w:r>
            <w:r>
              <w:rPr>
                <w:color w:val="000000"/>
                <w:szCs w:val="22"/>
              </w:rPr>
              <w:br/>
            </w:r>
            <w:r>
              <w:rPr>
                <w:color w:val="000000"/>
                <w:szCs w:val="22"/>
              </w:rPr>
              <w:br/>
            </w:r>
            <w:r>
              <w:rPr>
                <w:color w:val="000000"/>
                <w:szCs w:val="22"/>
              </w:rPr>
              <w:br/>
            </w:r>
            <w:r>
              <w:rPr>
                <w:b/>
              </w:rPr>
              <w:t>Hubert Toma</w:t>
            </w:r>
          </w:p>
        </w:tc>
      </w:tr>
    </w:tbl>
    <w:p w14:paraId="60D68A20" w14:textId="77777777"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14:paraId="217DC585" w14:textId="77777777" w:rsidR="00FB06B6" w:rsidRDefault="00FB06B6">
      <w:pPr>
        <w:rPr>
          <w:szCs w:val="20"/>
        </w:rPr>
      </w:pPr>
    </w:p>
    <w:p w14:paraId="710F3543" w14:textId="77777777" w:rsidR="00FB06B6" w:rsidRDefault="00000000">
      <w:pPr>
        <w:jc w:val="center"/>
        <w:rPr>
          <w:szCs w:val="20"/>
        </w:rPr>
      </w:pPr>
      <w:r>
        <w:rPr>
          <w:b/>
          <w:szCs w:val="20"/>
        </w:rPr>
        <w:t>Uzasadnienie</w:t>
      </w:r>
    </w:p>
    <w:p w14:paraId="6F7B4326" w14:textId="77777777" w:rsidR="00FB06B6" w:rsidRDefault="00000000">
      <w:pPr>
        <w:spacing w:before="120" w:after="120"/>
        <w:ind w:left="283" w:firstLine="227"/>
        <w:rPr>
          <w:szCs w:val="20"/>
        </w:rPr>
      </w:pPr>
      <w:r>
        <w:rPr>
          <w:szCs w:val="20"/>
        </w:rPr>
        <w:t>W dniu 19 października 2023 r. do Urzędu Gminy Wejherowo wpłynęła petycja w sprawie podjęcia działań zabezpieczających żywotny interes Gminy, poprzez podjęcie uchwały w sprawie zakazu wykorzystania Górotworu pod powierzchnią Gminy dla magazynowania sprężonego CO2 wraz z domieszkami. Wójt Gminy Wejherowo w dniu 30 października 2023 r. przekazał petycję według właściwości do Rady Gminy Wejherowo, zaś Przewodniczący Rady skierował ją do Komisji Skarg, Wniosków i Petycji w celu zajęcia stanowiska.  W dniu 9 listopada 2023 r. petycja trafiła pod obrady Komisji Skarg, Wniosków i Petycji, która po dokonaniu analizy złożonej petycji postanowiła o jej nieuwzględnieniu, gdyż postulat zawarty w petycji wykracza poza kompetencje Rady Gminy.</w:t>
      </w:r>
    </w:p>
    <w:p w14:paraId="66CBF3BA" w14:textId="77777777" w:rsidR="00FB06B6" w:rsidRDefault="00000000">
      <w:pPr>
        <w:spacing w:before="120" w:after="120"/>
        <w:ind w:left="283" w:firstLine="227"/>
        <w:rPr>
          <w:szCs w:val="20"/>
        </w:rPr>
      </w:pPr>
      <w:r>
        <w:rPr>
          <w:szCs w:val="20"/>
        </w:rPr>
        <w:t>Komisja Skarg, Wniosków i Petycji po zapoznaniu się z opinią radcy prawnego ustaliła, co następuje: w dniu 28 października 2023 r. weszła w życie ustawa z dnia 16 czerwca 2023 r. o zmianie ustawy - Prawo geologiczne i górnicze oraz niektórych innych ustaw, nowelizująca przepisy krajowe dotyczące działalności w zakresie podziemnego składowania dwutlenku węgla (dalej: działalność CCS).  Zgodnie z art. 40 ust. 1 ustawy z dnia 8 marca 1990 r. o samorządzie gminnym, na podstawie upoważnień ustawowych gminie przysługuje prawo stanowienia aktów prawa miejscowego obowiązujących na obszarze gminy. Wykroczenie poza granicę upoważnienia do wydania aktu prawa miejscowego jest naruszeniem nie tylko ww. przepisu ustawy o samorządzie gminnym, ale również art. 94 Konstytucji RP, który stanowi: „Organy samorządu terytorialnego oraz terenowe organy administracji rządowej, na podstawie i w granicach upoważnień zawartych w ustawie, ustanawiają akty prawa miejscowego obowiązujące na obszarze działania tych organów. Zasady i tryb wydawania aktów prawa miejscowego określa ustawa.” W obowiązującym stanie prawnym żaden przepis rangi ustawowej nie zawiera upoważnienia do stanowienia aktu prawa miejscowego, zakazującego wykorzystywania górotworu pod powierzchnią konkretnej gminy dla magazynowania sprężonego CO2 wraz z domieszkami.</w:t>
      </w:r>
    </w:p>
    <w:p w14:paraId="39520834" w14:textId="77777777" w:rsidR="00FB06B6" w:rsidRDefault="00000000">
      <w:pPr>
        <w:spacing w:before="120" w:after="120"/>
        <w:ind w:left="283"/>
        <w:rPr>
          <w:szCs w:val="20"/>
        </w:rPr>
      </w:pPr>
      <w:r>
        <w:rPr>
          <w:szCs w:val="20"/>
        </w:rPr>
        <w:t>Próba poszukiwania podstawy prawnej dla wprowadzenia takiego zakazu bezpośrednio w przepisach Unii Europejskiej stałaby w sprzeczności z ww. przepisami i stanowiłaby niedozwoloną próbę obejścia prawa (uchwała zmierzałaby do zrealizowania celu sprzecznego z obowiązującą ustawą).</w:t>
      </w:r>
    </w:p>
    <w:p w14:paraId="1B11805E" w14:textId="77777777" w:rsidR="00FB06B6" w:rsidRDefault="00000000">
      <w:pPr>
        <w:spacing w:before="120" w:after="120"/>
        <w:ind w:left="283" w:firstLine="227"/>
        <w:rPr>
          <w:szCs w:val="20"/>
        </w:rPr>
      </w:pPr>
      <w:r>
        <w:rPr>
          <w:szCs w:val="20"/>
        </w:rPr>
        <w:t>Mając powyższe na uwadze Rada Gminy Wejherowo stwierdza, że żądanie objęte petycją wykracza poza zakres spraw określonych w art. 6 ust. 1 oraz 7 ust. 1 ustawy o samorządzie gminnym, w związku z powyższym zasadne jest podjęcie uchwały o uznaniu wniesionej petycji za niezasługującą na pozytywne rozpatrzenie.</w:t>
      </w:r>
    </w:p>
    <w:p w14:paraId="097668F3" w14:textId="77777777" w:rsidR="00FB06B6" w:rsidRDefault="00000000">
      <w:pPr>
        <w:spacing w:before="120" w:after="120"/>
        <w:ind w:left="283" w:firstLine="227"/>
        <w:jc w:val="center"/>
        <w:rPr>
          <w:szCs w:val="20"/>
        </w:rPr>
      </w:pPr>
      <w:r>
        <w:rPr>
          <w:szCs w:val="20"/>
        </w:rPr>
        <w:t>Pouczenie</w:t>
      </w:r>
    </w:p>
    <w:p w14:paraId="1EA4DABE" w14:textId="77777777" w:rsidR="00FB06B6" w:rsidRDefault="00000000">
      <w:pPr>
        <w:keepNext/>
        <w:spacing w:before="120" w:after="120"/>
        <w:ind w:left="283" w:firstLine="227"/>
        <w:rPr>
          <w:szCs w:val="20"/>
        </w:rPr>
      </w:pPr>
      <w:r>
        <w:rPr>
          <w:szCs w:val="20"/>
        </w:rPr>
        <w:t>Zgodnie z art. 13 ust. 2 ustawy z dnia 11 lipca 2014 r. o petycjach, sposób załatwienia petycji nie może być przedmiotem skargi.</w:t>
      </w:r>
    </w:p>
    <w:p w14:paraId="356861CC" w14:textId="77777777" w:rsidR="00FB06B6" w:rsidRDefault="00000000">
      <w:pPr>
        <w:keepNext/>
        <w:rPr>
          <w:szCs w:val="20"/>
        </w:rPr>
      </w:pPr>
      <w:r>
        <w:rPr>
          <w:szCs w:val="20"/>
        </w:rPr>
        <w:t>  </w:t>
      </w:r>
    </w:p>
    <w:tbl>
      <w:tblPr>
        <w:tblW w:w="5000" w:type="pct"/>
        <w:tblLayout w:type="fixed"/>
        <w:tblCellMar>
          <w:left w:w="0" w:type="dxa"/>
          <w:right w:w="0" w:type="dxa"/>
        </w:tblCellMar>
        <w:tblLook w:val="04A0" w:firstRow="1" w:lastRow="0" w:firstColumn="1" w:lastColumn="0" w:noHBand="0" w:noVBand="1"/>
      </w:tblPr>
      <w:tblGrid>
        <w:gridCol w:w="4933"/>
        <w:gridCol w:w="4933"/>
      </w:tblGrid>
      <w:tr w:rsidR="00FB06B6" w14:paraId="5FA8DD05" w14:textId="77777777">
        <w:tc>
          <w:tcPr>
            <w:tcW w:w="4935" w:type="dxa"/>
            <w:tcMar>
              <w:top w:w="0" w:type="dxa"/>
              <w:left w:w="0" w:type="dxa"/>
              <w:bottom w:w="0" w:type="dxa"/>
              <w:right w:w="0" w:type="dxa"/>
            </w:tcMar>
            <w:hideMark/>
          </w:tcPr>
          <w:p w14:paraId="007CA07C" w14:textId="77777777" w:rsidR="00FB06B6" w:rsidRDefault="00FB06B6">
            <w:pPr>
              <w:jc w:val="left"/>
              <w:rPr>
                <w:color w:val="000000"/>
                <w:szCs w:val="20"/>
              </w:rPr>
            </w:pPr>
          </w:p>
        </w:tc>
        <w:tc>
          <w:tcPr>
            <w:tcW w:w="4935" w:type="dxa"/>
            <w:tcMar>
              <w:top w:w="0" w:type="dxa"/>
              <w:left w:w="0" w:type="dxa"/>
              <w:bottom w:w="0" w:type="dxa"/>
              <w:right w:w="0" w:type="dxa"/>
            </w:tcMar>
            <w:hideMark/>
          </w:tcPr>
          <w:p w14:paraId="48257290" w14:textId="77777777" w:rsidR="00FB06B6" w:rsidRDefault="00000000">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Hubert</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Toma</w:t>
            </w:r>
            <w:r>
              <w:rPr>
                <w:b/>
                <w:color w:val="000000"/>
                <w:szCs w:val="20"/>
              </w:rPr>
              <w:fldChar w:fldCharType="end"/>
            </w:r>
            <w:r>
              <w:rPr>
                <w:b/>
                <w:color w:val="000000"/>
                <w:szCs w:val="20"/>
              </w:rPr>
              <w:t> </w:t>
            </w:r>
          </w:p>
        </w:tc>
      </w:tr>
    </w:tbl>
    <w:p w14:paraId="6C3404E5" w14:textId="77777777" w:rsidR="00FB06B6" w:rsidRDefault="00FB06B6">
      <w:pPr>
        <w:keepNext/>
        <w:rPr>
          <w:szCs w:val="20"/>
        </w:rPr>
      </w:pPr>
    </w:p>
    <w:sectPr w:rsidR="00FB06B6">
      <w:footerReference w:type="default" r:id="rId7"/>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DA14" w14:textId="77777777" w:rsidR="00E77BFD" w:rsidRDefault="00E77BFD">
      <w:r>
        <w:separator/>
      </w:r>
    </w:p>
  </w:endnote>
  <w:endnote w:type="continuationSeparator" w:id="0">
    <w:p w14:paraId="416E261B" w14:textId="77777777" w:rsidR="00E77BFD" w:rsidRDefault="00E7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B06B6" w14:paraId="46D02D3D" w14:textId="77777777">
      <w:tc>
        <w:tcPr>
          <w:tcW w:w="6577" w:type="dxa"/>
          <w:tcBorders>
            <w:top w:val="single" w:sz="4" w:space="0" w:color="auto"/>
            <w:left w:val="nil"/>
            <w:bottom w:val="nil"/>
            <w:right w:val="nil"/>
          </w:tcBorders>
          <w:tcMar>
            <w:top w:w="100" w:type="dxa"/>
            <w:left w:w="0" w:type="dxa"/>
            <w:bottom w:w="0" w:type="dxa"/>
            <w:right w:w="0" w:type="dxa"/>
          </w:tcMar>
          <w:hideMark/>
        </w:tcPr>
        <w:p w14:paraId="315BB199" w14:textId="77777777" w:rsidR="00FB06B6" w:rsidRDefault="00000000">
          <w:pPr>
            <w:jc w:val="left"/>
            <w:rPr>
              <w:sz w:val="18"/>
            </w:rPr>
          </w:pPr>
          <w:r>
            <w:rPr>
              <w:sz w:val="18"/>
            </w:rPr>
            <w:t>Id: 6B0F4BBF-DDD1-44F6-9997-7BC36A155807.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25B90A63" w14:textId="77777777" w:rsidR="00FB06B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F608C2">
            <w:rPr>
              <w:noProof/>
              <w:sz w:val="18"/>
            </w:rPr>
            <w:t>1</w:t>
          </w:r>
          <w:r>
            <w:rPr>
              <w:sz w:val="18"/>
            </w:rPr>
            <w:fldChar w:fldCharType="end"/>
          </w:r>
        </w:p>
      </w:tc>
    </w:tr>
  </w:tbl>
  <w:p w14:paraId="3B645C9F" w14:textId="77777777" w:rsidR="00FB06B6" w:rsidRDefault="00FB06B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B06B6" w14:paraId="4D5F6E5F" w14:textId="77777777">
      <w:tc>
        <w:tcPr>
          <w:tcW w:w="6577" w:type="dxa"/>
          <w:tcBorders>
            <w:top w:val="single" w:sz="4" w:space="0" w:color="auto"/>
            <w:left w:val="nil"/>
            <w:bottom w:val="nil"/>
            <w:right w:val="nil"/>
          </w:tcBorders>
          <w:tcMar>
            <w:top w:w="100" w:type="dxa"/>
            <w:left w:w="0" w:type="dxa"/>
            <w:bottom w:w="0" w:type="dxa"/>
            <w:right w:w="0" w:type="dxa"/>
          </w:tcMar>
          <w:hideMark/>
        </w:tcPr>
        <w:p w14:paraId="4378E1AC" w14:textId="77777777" w:rsidR="00FB06B6" w:rsidRDefault="00000000">
          <w:pPr>
            <w:jc w:val="left"/>
            <w:rPr>
              <w:sz w:val="18"/>
            </w:rPr>
          </w:pPr>
          <w:r>
            <w:rPr>
              <w:sz w:val="18"/>
            </w:rPr>
            <w:t>Id: 6B0F4BBF-DDD1-44F6-9997-7BC36A155807.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0F766DD0" w14:textId="1B6B0D4D" w:rsidR="00FB06B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F608C2">
            <w:rPr>
              <w:noProof/>
              <w:sz w:val="18"/>
            </w:rPr>
            <w:t>2</w:t>
          </w:r>
          <w:r>
            <w:rPr>
              <w:sz w:val="18"/>
            </w:rPr>
            <w:fldChar w:fldCharType="end"/>
          </w:r>
        </w:p>
      </w:tc>
    </w:tr>
  </w:tbl>
  <w:p w14:paraId="611A19FC" w14:textId="77777777" w:rsidR="00FB06B6" w:rsidRDefault="00FB06B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BF66" w14:textId="77777777" w:rsidR="00E77BFD" w:rsidRDefault="00E77BFD">
      <w:r>
        <w:separator/>
      </w:r>
    </w:p>
  </w:footnote>
  <w:footnote w:type="continuationSeparator" w:id="0">
    <w:p w14:paraId="1618AD12" w14:textId="77777777" w:rsidR="00E77BFD" w:rsidRDefault="00E7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E77BFD"/>
    <w:rsid w:val="00F608C2"/>
    <w:rsid w:val="00FB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9B755"/>
  <w15:docId w15:val="{6226F1E8-8E8F-4BDC-8B00-9E1BC914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LXI/686/2023 z dnia 22 listopada 2023 r.</dc:title>
  <dc:subject>w sprawie rozpatrzenia petycji</dc:subject>
  <dc:creator>a.adach</dc:creator>
  <cp:lastModifiedBy>Alicja Adach</cp:lastModifiedBy>
  <cp:revision>2</cp:revision>
  <dcterms:created xsi:type="dcterms:W3CDTF">2023-11-23T12:28:00Z</dcterms:created>
  <dcterms:modified xsi:type="dcterms:W3CDTF">2023-11-24T08:23:00Z</dcterms:modified>
  <cp:category>Akt prawny</cp:category>
</cp:coreProperties>
</file>