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LXII/719/2023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wieloletniej prognozy finansowej na lata 2024 - 2028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(tj.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Wieloletnią Prognozę Finansową dla Gminy Wejherowo na lata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- 2028,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Wykaz Przedsięwzięć,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 Gminy Wejherowo na lata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stanową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 zaciągania zobowiązań: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przedsięwzięć;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 przekazania kierownikom jednostek organizacyjnych       Gminy Wejherowo uprawnień do zaciągania zobowiązań,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 upoważnia się Wójta Gminy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nowych inwestycji lub zakupów inwestycyjnych przez jednostkę,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zmiana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pogorszy wyniku budżetu tej jednostki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XLIX/578/2022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wieloletniej prognozy finansowej na lata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LXII/719/2023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LXII/719/2023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LXII/719/2023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uzasadnienie.pdf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DCB3BD26-B823-44B6-8D49-58BE97AB56B5.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DCB3BD26-B823-44B6-8D49-58BE97AB56B5.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DCB3BD26-B823-44B6-8D49-58BE97AB56B5.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DCB3BD26-B823-44B6-8D49-58BE97AB56B5.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uzasadnieni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LXII/719/2023 z dnia 20 grudnia 2023 r.</dc:title>
  <dc:subject>w sprawie uchwalenia wieloletniej prognozy finansowej na lata 2024^- 2028</dc:subject>
  <dc:creator>a.adach</dc:creator>
  <cp:lastModifiedBy>a.adach</cp:lastModifiedBy>
  <cp:revision>1</cp:revision>
  <dcterms:created xsi:type="dcterms:W3CDTF">2023-12-21T12:16:29Z</dcterms:created>
  <dcterms:modified xsi:type="dcterms:W3CDTF">2023-12-21T12:16:29Z</dcterms:modified>
  <cp:category>Akt prawny</cp:category>
</cp:coreProperties>
</file>