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114/2023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6 września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przeprowadzenia konsultacji społecznych w sprawie wyłączenia miejscowości Zamostne z Sołectwa Kniewo i utworzenia Sołectwa Zamostne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5a 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roku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samorządzie gminnym (t.j. Dz.U.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2023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40 ze zm.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) oraz  § 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§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pkt a załącznika do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uchwały nr IX/97/2011 Rady Gminy Wejherowo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czerwca 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określenia zasad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trybu przeprowadzania konsultacji społecznych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mieszkańcami Gminy Wejherowo zarządza się,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W celu poznania opinii mieszkańców miejscowości Kniewo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Zamostne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  <w:t>sprawie wyłączenia miejscowości Zamostne z Sołectwa Kniewo i utworzenia Sołectwa Zamostne przeprowadza się konsultacje społeczne.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Konsultacje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formie ankiety skierowanej do mieszkańców przeprowadza się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dniach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15.09.2023 r. - 15.10.2023 r.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Druk ankiety, stanowiący załącznik do zarządzenia należy dostarczyć do dnia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15.10.2023 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: a) poprzez złożenie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Urzędzie Gminy Wejherowo,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Biurze Obsługi Interesanta (parter), b) droga listową na adres urzędu: Urząd Gminy Wejherowo, ul. Transportowa 1, 84-200 Wejherowo, c) drogą elektroniczną (skan ankiety) na adres: konsultacje@ugwejherowo.pl.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Ankiety dostarczone po dniu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15.10.2023 r.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zostaną uwzględnione.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opinii polegać będzie na umieszczeniu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jednej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rubryk „jestem za”, „jestem przeciw”, „wstrzymuję się”  - znaku X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wypełnieniu rubryki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danymi identyfikującymi głosującego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złożeniu własnoręcznego podpisu na ankiecie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. 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Głosem nieważnym będzie postawienie znaku X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dwóch lub trzech rubrykach lub nie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postawienie znaku X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żadnej rubryce.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Prawo do wyrażania opinii mają wszyscy mieszkańcy stale zamieszkujący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miejscowości Kniewo lub Zamostne.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Osobą odpowiedzialną za przeprowadzenie konsultacji jest Sekretarz Gminy Wejherowo.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podpisania.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992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280" w:after="28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t>Załącznik do zarządzenia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 Nr 114/2023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6 września 2023 r.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hyperlink r:id="rId5" w:history="1">
        <w:r>
          <w:rPr>
            <w:rStyle w:val="Hyperlink"/>
            <w:rFonts w:ascii="Times New Roman" w:eastAsia="Times New Roman" w:hAnsi="Times New Roman" w:cs="Times New Roman"/>
            <w:b w:val="0"/>
            <w:i w:val="0"/>
            <w:caps w:val="0"/>
            <w:strike w:val="0"/>
            <w:color w:val="000000"/>
            <w:sz w:val="22"/>
            <w:u w:val="none" w:color="000000"/>
            <w:vertAlign w:val="baseline"/>
          </w:rPr>
          <w:t>Zalacznik1.pdf</w:t>
        </w:r>
      </w:hyperlink>
    </w:p>
    <w:sectPr>
      <w:footerReference w:type="default" r:id="rId6"/>
      <w:endnotePr>
        <w:numFmt w:val="decimal"/>
      </w:endnotePr>
      <w:type w:val="nextPage"/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4A6F54BC-EAC8-430C-AA77-0B5D764C9C4C.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4A6F54BC-EAC8-430C-AA77-0B5D764C9C4C. Podpisany</w:t>
          </w:r>
        </w:p>
      </w:tc>
      <w:tc>
        <w:tcPr>
          <w:tcW w:w="3289" w:type="dxa"/>
          <w:tcBorders>
            <w:top w:val="single" w:sz="4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hyperlink" Target="Zalacznik1.pdf" TargetMode="Externa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114/2023 z dnia 6 września 2023 r.</dc:title>
  <dc:subject>w sprawie przeprowadzenia konsultacji społecznych w^sprawie wyłączenia miejscowości Zamostne z^Sołectwa Kniewo i^utworzenia Sołectwa Zamostne</dc:subject>
  <dc:creator>pczerwinski</dc:creator>
  <cp:lastModifiedBy>pczerwinski</cp:lastModifiedBy>
  <cp:revision>1</cp:revision>
  <dcterms:created xsi:type="dcterms:W3CDTF">2023-09-07T14:44:28Z</dcterms:created>
  <dcterms:modified xsi:type="dcterms:W3CDTF">2023-09-07T14:44:28Z</dcterms:modified>
  <cp:category>Akt prawny</cp:category>
</cp:coreProperties>
</file>