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księgowości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poz.1372)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1282)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księgowości w Referacie Finansowym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- Sekretarz Gminy  -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Krystyna Kohnke  –   Skarbnik Gminy 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-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779D19E8-BE91-40BA-8DF1-5CA4D966C49C.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115/2021 z dnia 17 sierpnia 2021 r.</dc:title>
  <dc:subject>w sprawie powołania Komisji Rekrutacyjnej do przeprowadzenia procedury naboru na wolne stanowisko urzędnicze ds. księgowości w^Urzędzie Gminy Wejherowo</dc:subject>
  <dc:creator>pczerwinski</dc:creator>
  <cp:lastModifiedBy>pczerwinski</cp:lastModifiedBy>
  <cp:revision>1</cp:revision>
  <dcterms:created xsi:type="dcterms:W3CDTF">2021-08-23T15:51:12Z</dcterms:created>
  <dcterms:modified xsi:type="dcterms:W3CDTF">2021-08-23T15:51:12Z</dcterms:modified>
  <cp:category>Akt prawny</cp:category>
</cp:coreProperties>
</file>