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XXXVII/440/2022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ustanowienie służebności przesyłu na rzecz PEWiK Gdynia Sp. z o.o.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„a”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1899, 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305¹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1964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cywilny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1740;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1509) uchwala się, co następuje: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ustanowienie służebności przesyłu na rzecz PEWiK Gdynia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o.o., ul. Witomińska 29, 81-311 Gdynia, na nieruchomościach gruntowych, stanowiących własność Gminy Wejherowo,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Bolszewo przy ulicy Żurawiej, Kruczej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Błękitnej składających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działek oznaczonych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budynków numerami: 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666/1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0,0165 ha, 663/2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0,0184 ha, 662/3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0,0185 ha, 659/35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0,0118 ha, 659/20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0,0230 ha, 659/10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0,0255 ha, 659/43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0,0803 ha, 742/4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0,0739 ha, 748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0,1400 ha, 743/12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0,0606 ha, 743/10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0,0887 ha, 749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0,1300 ha, 750/17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0,1367 ha, dla których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GD1W/00069034/5;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742/15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0,0357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GD1W/00119752/0;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705/19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0,4849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GD1W/00118017/9;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742/5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0,0507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GD1W/0014875/2;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742/17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0,0844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GD1W/00119696/9;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739/3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0,0316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GD1W/00047788/5;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742/14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0,0224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GD1W/00119838/7;</w:t>
      </w:r>
    </w:p>
    <w:p w:rsidR="00A77B3E">
      <w:pPr>
        <w:keepNext w:val="0"/>
        <w:keepLines/>
        <w:spacing w:before="120" w:after="12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747/7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0,0125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numer GD1W/00110486/1.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służebności przesyłu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aktu notarialnego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ustanowieniu służebności przesyłu.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służebności przedstawiono na załącznikach graficznych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do niniejszej uchwały.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XXXVII/440/2022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XXXVII/440/2022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sectPr>
      <w:footerReference w:type="default" r:id="rId8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8BA60708-033E-418D-A8E7-04FCDA465994.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8BA60708-033E-418D-A8E7-04FCDA465994.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8BA60708-033E-418D-A8E7-04FCDA465994.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XXXVII/440/2022 z dnia 26 stycznia 2022 r.</dc:title>
  <dc:subject>w sprawie wyrażenia zgody na ustanowienie służebności przesyłu na rzecz PEWiK Gdynia Sp. z^o.o.</dc:subject>
  <dc:creator>d.gessler</dc:creator>
  <cp:lastModifiedBy>d.gessler</cp:lastModifiedBy>
  <cp:revision>1</cp:revision>
  <dcterms:created xsi:type="dcterms:W3CDTF">2022-01-27T13:03:02Z</dcterms:created>
  <dcterms:modified xsi:type="dcterms:W3CDTF">2022-01-27T13:03:02Z</dcterms:modified>
  <cp:category>Akt prawny</cp:category>
</cp:coreProperties>
</file>