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XLIV/532/2022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sierpnia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gromadzenia dochodów w jednostkach budżetowych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podstawie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559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Tworzy się wydzielone rachunki dochodów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następujących jednostkach budżetowych: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Podstawowa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Górze;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Podstawowa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Nowym Dworze Wejherowskim;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Podstawowa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Gowinie;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Podstawowa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Orlu;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Podstawowa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Gościcinie;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Podstawowa 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Bolszewie;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Podstawowa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Bolszewie;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Przedszkole Leśne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Bolszewie.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Źródłem dochodów na rachunku dochodów jednostek budżetowych,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wpłaty za 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posiłków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stołówkach szkolnych;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wpłaty na rzecz placówki oświatowej – spadki, zapisy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darowizny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postaci pieniężnej, odszkodowania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wpłaty za utracone lub uszkodzone mienie będące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zarządzie albo użytkowaniu jednostki budżetowej.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Źródłem dochodu jednostek budżetowych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również dochód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 za wykorzystanie  pomieszczeń.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zgromadzone na wydzielonych rachunkach dochodów jednostek budżetowych,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przeznacza się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edukacyjno-rekreacyjnym dla uczniów szkoły;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pomocy szkolnych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sprzętu szkolnego;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zakup środków żywności na przygotowanie posiłków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stołówkach szkolnych.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Dysponentem środków zgromadzonych na wydzielonych rachunkach dochodów jest dyrektor jednostki budżetowej.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Obsługę finansowo-księgową każdego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wydzielonych rachunków dochodów prowadzą   poszczególne jednostki,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Nadwyżka środków obrotowych ustalona na dzień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jest odprowadzana na rachunek budżetu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Podstawą gospodarowania środkami zgromadzonymi na wydzielonych rachunkach dochodów jest roczny plan finansowy jednostki budżetowej.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finansowe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 gromadzone są na odrębnym rachunku dla każdej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jednostek budżetowych.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 powierza się Wójtowi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III/14/2010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 grudnia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gromadzenia dochodów na rachunku dochodów własnych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jednostkach budżetowych 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6F50E08F-3594-4537-AC18-1A9F037DECF1.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XLIV/532/2022 z dnia 24 sierpnia 2022 r.</dc:title>
  <dc:subject>w sprawie gromadzenia dochodów w^jednostkach budżetowych Gminy Wejherowo</dc:subject>
  <dc:creator>d.gessler</dc:creator>
  <cp:lastModifiedBy>d.gessler</cp:lastModifiedBy>
  <cp:revision>1</cp:revision>
  <dcterms:created xsi:type="dcterms:W3CDTF">2022-08-26T09:26:46Z</dcterms:created>
  <dcterms:modified xsi:type="dcterms:W3CDTF">2022-08-26T09:26:46Z</dcterms:modified>
  <cp:category>Akt prawny</cp:category>
</cp:coreProperties>
</file>