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Zarządzenia Nr 135/2010 Wójta Gminy Wejherowo z dnia 28 grudnia 2010 r. w sprawie przyjętych zasad rachunkowości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rachunkowości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zm.),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kont dla Urzędu Gminy Wejherowo uzupełnia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 konta bilansowe: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Konto 310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Materiały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służy do ewidencji zapasów materiałów,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także opakowań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odpadków,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magazynach własnych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obcych oraz we własnym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obcym przerobie. Na stronie Wn konta 310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ujmuje się zwiększenie ilości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stanu zapasu materiałów,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Ma - jego zmniejszenia. Konto 310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wykazywać saldo Wn, które wyraża stan zapasów materiałów,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cenach zakupu, nabycia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stałych cenach ewidencyjnych.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Konto 330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Towary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jest przeznaczone do ewidencji zapasów towarów. Ewidencją na tym koncie obejmuje się towary znajdujące się zarówno we własnych magazynach, punktach sprzedaży, punktach przerobu, jak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magazynach obcych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przerobie obcym. Na stronie Wn konta 330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ujmuje się zwiększenie ilości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stanu zapasów towarów,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Ma - jego zmniejszenia. Konto 330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wykazywać saldo Wn, które oznacza stan zapasów towarów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cenach zakupu, nabycia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stałych cenach ewidencyjnych.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Zasady wyceny aktywów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pasywów oraz ustalania wyniku finansowego uzupełnia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zapisy: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prowadzi ewidencji obrotu materiałowego. Zakupione materiały na potrzeby administracyjno-gospodarcze,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paliwa do samochodów służbowych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węgla, przekazywane są bezpośrednio do zużycia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obciąża  koszty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pełnej ich wartości wynikającej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faktur, rachunków pod datą ich zakupu.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koncie 310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ewidencjonuje się tylko zakup paliwa do samochodów służbowych Gminy. Na koniec każdego kwartału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zwłaszcza na koniec roku na podstawie rozliczenia kart drogowych ustalana jest wartość zużytego paliwa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zakupu, zwiększając równocześnie koszty działalności.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koncie 330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ewidencjonuje się zakupiony węgiel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zadania sprzedaży węgla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cenach preferencyjnych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27.10.2022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zakupie preferencyjnym paliwa stałego dla gospodarstw domowych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poz 2236). Na koniec każdego miesiąca na podstawie rozliczenia ze składem węgla ustalana jest wartość sprzedanego węgla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cenie zakupu, zwiększając koszty działalności.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Skarbnikowi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1844A8B5-4A47-4C7E-A904-4785B615EEFD.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186/2022 z dnia 7 grudnia 2022 r.</dc:title>
  <dc:subject>w sprawie zmiany Zarządzenia Nr^135/2010 Wójta Gminy Wejherowo z^dnia 28^grudnia 2010^r. w^sprawie przyjętych zasad rachunkowości w^Urzędzie Gminy Wejherowo</dc:subject>
  <dc:creator>pczerwinski</dc:creator>
  <cp:lastModifiedBy>pczerwinski</cp:lastModifiedBy>
  <cp:revision>1</cp:revision>
  <dcterms:created xsi:type="dcterms:W3CDTF">2022-12-21T12:22:56Z</dcterms:created>
  <dcterms:modified xsi:type="dcterms:W3CDTF">2022-12-21T12:22:56Z</dcterms:modified>
  <cp:category>Akt prawny</cp:category>
</cp:coreProperties>
</file>